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85502779a9432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17587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SREDNJA ŠKOLA DONJI MIHOLJAC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1.783.535,98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2.034.822,80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1.735.570,60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2.025.808,73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47.965,38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9.014,07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4.619,08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5.203,57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4.619,08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5.203,57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112,7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43.346,30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3.810,50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8,8</w:t>
            </w:r>
          </w:p>
        </w:tc>
      </w:tr>
    </w:tbl>
    <w:p>
      <w:pPr>
        <w:spacing w:before="0" w:after="0"/>
      </w:pPr>
    </w:p>
    <w:p>
      <w:r>
        <w:t xml:space="preserve">Na financijski rezultat utjecao je priliv sredstava vezano za EU fondove, odnosno za projekte erasmus+ u iznosu od 87.083,41 eura, koja će biti utrošena u 2026. godini.</w:t>
      </w:r>
    </w:p>
    <w:p>
      <w:r>
        <w:t xml:space="preserve">SŠ Donji Miholjac nema ugovornih odnosa i slično koji uz ispunjenje određenih uvjeta, mogu postati</w:t>
      </w:r>
      <w:r>
        <w:br/>
      </w:r>
      <w:r>
        <w:t xml:space="preserve">obveza ili imovina (dana kreditna pisma, hipoteke i slično) i nema sudske sporove u tijeku.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19.433,21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23.090,37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118,8</w:t>
            </w:r>
          </w:p>
        </w:tc>
      </w:tr>
    </w:tbl>
    <w:p>
      <w:pPr>
        <w:spacing w:before="0" w:after="0"/>
      </w:pPr>
    </w:p>
    <w:p>
      <w:r>
        <w:t xml:space="preserve">Na povećanje prihoda na ovoj stavci, doprinjela su sredstva doznačena od ministarstva za prijevoz učenice, koja nema redovnu autobusnu liniju iz svog mjesta.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12.126,55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23.681,05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195,3</w:t>
            </w:r>
          </w:p>
        </w:tc>
      </w:tr>
    </w:tbl>
    <w:p>
      <w:pPr>
        <w:spacing w:before="0" w:after="0"/>
      </w:pPr>
    </w:p>
    <w:p>
      <w:r>
        <w:t xml:space="preserve">Na povećanje prihoda na ovoj stavci, doprinjeli su organizirani tečajevi za upotrebu pesticida.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1.216.676,90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1.432.014,87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117,7</w:t>
            </w:r>
          </w:p>
        </w:tc>
      </w:tr>
    </w:tbl>
    <w:p>
      <w:pPr>
        <w:spacing w:before="0" w:after="0"/>
      </w:pPr>
    </w:p>
    <w:p>
      <w:r>
        <w:t xml:space="preserve">Na povećanje rashoda za plaće utjecala su nova zapošljavanja, te povećanje plaće tijekom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posebne uvjete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7.123,80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16.716,52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234,7</w:t>
            </w:r>
          </w:p>
        </w:tc>
      </w:tr>
    </w:tbl>
    <w:p>
      <w:pPr>
        <w:spacing w:before="0" w:after="0"/>
      </w:pPr>
    </w:p>
    <w:p>
      <w:r>
        <w:t xml:space="preserve">Na značajno povećanje plaća za posebne uvjete, utjecao je povećani broj učenika po prilagođenom programu.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69.495,96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69.990,53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100,7</w:t>
            </w:r>
          </w:p>
        </w:tc>
      </w:tr>
    </w:tbl>
    <w:p>
      <w:pPr>
        <w:spacing w:before="0" w:after="0"/>
      </w:pPr>
    </w:p>
    <w:p>
      <w:r>
        <w:t xml:space="preserve">Značajna sredstva na ovoj stavci odnose se na putovanja vezana za erasmus+.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3.666,80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7.596,47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207,2</w:t>
            </w:r>
          </w:p>
        </w:tc>
      </w:tr>
    </w:tbl>
    <w:p>
      <w:pPr>
        <w:spacing w:before="0" w:after="0"/>
      </w:pPr>
    </w:p>
    <w:p>
      <w:r>
        <w:t xml:space="preserve">Povećani troškovi reprezentacije na ovoj stavci, vezani su za organizaciju i troškove vezane za Obljetnicu škole.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90.138,97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92.134,89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102,2</w:t>
            </w:r>
          </w:p>
        </w:tc>
      </w:tr>
    </w:tbl>
    <w:p>
      <w:pPr>
        <w:spacing w:before="0" w:after="0"/>
      </w:pPr>
    </w:p>
    <w:p>
      <w:r>
        <w:t xml:space="preserve">Na višak prihoda poslovanja značajan utjecaj imaju sredstva od EU fondova za projekte erasmus+.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131.785,00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Ispravak vrijednosti za građevinske objekte i osnovna sredstva.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izvještajnog razdoblja nema dospjelih obveza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141.782,76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za rashode poslovanja čine plaća za 12. mjesec 2025. te materijalni rashodi.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Priljev sredstava iz EU fondova za erasmus+ u 2025. godini bio je 87.083,41 euro, dok su rashodi za realizaciju projekata u 2025. godini bili 70.335,09 eura.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387411b53b4bbe" /></Relationships>
</file>